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8E48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Svetový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antidopingový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kódex</w:t>
      </w:r>
      <w:proofErr w:type="spellEnd"/>
    </w:p>
    <w:p w14:paraId="23E14790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Svetový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) 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hlavnou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štruktúrou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antidopingového systému,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stanovuje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dodržiavať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Cieľom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 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chrániť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práva čistých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Prijalo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ho olympijské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hnutie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aj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zložky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antidopingové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celom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Je uznaný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viac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170 vládami (UNESCO Dohovor proti dopingu </w:t>
      </w:r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</w:t>
      </w:r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).</w:t>
      </w:r>
    </w:p>
    <w:p w14:paraId="1483144A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5" w:tgtFrame="_blank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Svetový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antidopingový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kódex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2021 (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svk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verzia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)</w:t>
        </w:r>
      </w:hyperlink>
    </w:p>
    <w:p w14:paraId="03AE1E79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6" w:tgtFrame="_blank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World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antidoping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code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2021 (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eng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verzia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)</w:t>
        </w:r>
      </w:hyperlink>
    </w:p>
    <w:p w14:paraId="49D3B54A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59DEAD99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Čo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je doping? </w:t>
      </w:r>
    </w:p>
    <w:p w14:paraId="4EB6BEFE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Doping je definovaný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porušenie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jedného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viacerých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pravidiel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uvedených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článkoch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2.1 až 2.11.</w:t>
      </w:r>
    </w:p>
    <w:p w14:paraId="53C9EC24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Podľa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povinnosťou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ovládať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vedieť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znamená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porušenie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Porušenie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pravidiel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neznamená len „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pozitívny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test“,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definuje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nepriaznivý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analytický nález. Porušením antidopingových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pravidiel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napríklad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aj držba zakázaných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látok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používanie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04750111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17B69071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Práva a povinnosti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 </w:t>
      </w:r>
    </w:p>
    <w:p w14:paraId="51CFF96B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má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isté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práva a povinnosti:</w:t>
      </w:r>
    </w:p>
    <w:p w14:paraId="32A06AD1" w14:textId="77777777" w:rsidR="0055096F" w:rsidRPr="0055096F" w:rsidRDefault="0055096F" w:rsidP="0055096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Musí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ovládať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akceptovať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všetky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4F2EB1CF" w14:textId="77777777" w:rsidR="0055096F" w:rsidRPr="0055096F" w:rsidRDefault="0055096F" w:rsidP="0055096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Nesie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zodpovednosť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za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všetky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látky,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dostanú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do jeho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tela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čiže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všetko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konzumuje a pije,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vrátane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doplnkov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výživy,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užíva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Základné pravidlo je,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čo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je v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tvojom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tele, za to si aj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zodpovedný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.</w:t>
      </w:r>
    </w:p>
    <w:p w14:paraId="4D6842E4" w14:textId="77777777" w:rsidR="0055096F" w:rsidRPr="0055096F" w:rsidRDefault="0055096F" w:rsidP="0055096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Musí</w:t>
      </w:r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dostupný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odber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vzoriek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účelom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kontroly.</w:t>
      </w:r>
    </w:p>
    <w:p w14:paraId="33DB05DD" w14:textId="77777777" w:rsidR="0055096F" w:rsidRPr="0055096F" w:rsidRDefault="0055096F" w:rsidP="0055096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Musí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zdravotnícky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personál o tom, že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podlieha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antidopingovým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nesmie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liečbu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obsahujúcu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zakázané látky.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Taktiež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berie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seba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zodpovednosť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že každá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podstúpená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liečba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v rozpore s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747CAB60" w14:textId="77777777" w:rsidR="0055096F" w:rsidRPr="0055096F" w:rsidRDefault="0055096F" w:rsidP="0055096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Musí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spolupracovať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 antidopingovými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organizáciami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vyšetrujúcimi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porušenia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pravidiel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DC775A3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17F8E07C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Pravidlo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miesta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pobytu – ADAMS </w:t>
      </w:r>
    </w:p>
    <w:p w14:paraId="41C8A8AC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lastRenderedPageBreak/>
        <w:t>ADAMS (</w:t>
      </w:r>
      <w:r w:rsidRPr="0055096F">
        <w:rPr>
          <w:rFonts w:ascii="Helvetica" w:eastAsia="Times New Roman" w:hAnsi="Helvetica" w:cs="Helvetica"/>
          <w:i/>
          <w:iCs/>
          <w:kern w:val="0"/>
          <w:sz w:val="24"/>
          <w:szCs w:val="24"/>
          <w:lang w:val="cs-CZ" w:eastAsia="cs-CZ"/>
          <w14:ligatures w14:val="none"/>
        </w:rPr>
        <w:t xml:space="preserve">Anti-Doping </w:t>
      </w:r>
      <w:proofErr w:type="spellStart"/>
      <w:r w:rsidRPr="0055096F">
        <w:rPr>
          <w:rFonts w:ascii="Helvetica" w:eastAsia="Times New Roman" w:hAnsi="Helvetica" w:cs="Helvetica"/>
          <w:i/>
          <w:iCs/>
          <w:kern w:val="0"/>
          <w:sz w:val="24"/>
          <w:szCs w:val="24"/>
          <w:lang w:val="cs-CZ" w:eastAsia="cs-CZ"/>
          <w14:ligatures w14:val="none"/>
        </w:rPr>
        <w:t>Administration</w:t>
      </w:r>
      <w:proofErr w:type="spellEnd"/>
      <w:r w:rsidRPr="0055096F">
        <w:rPr>
          <w:rFonts w:ascii="Helvetica" w:eastAsia="Times New Roman" w:hAnsi="Helvetica" w:cs="Helvetica"/>
          <w:i/>
          <w:iCs/>
          <w:kern w:val="0"/>
          <w:sz w:val="24"/>
          <w:szCs w:val="24"/>
          <w:lang w:val="cs-CZ" w:eastAsia="cs-CZ"/>
          <w14:ligatures w14:val="none"/>
        </w:rPr>
        <w:t xml:space="preserve"> and Management </w:t>
      </w:r>
      <w:proofErr w:type="spellStart"/>
      <w:r w:rsidRPr="0055096F">
        <w:rPr>
          <w:rFonts w:ascii="Helvetica" w:eastAsia="Times New Roman" w:hAnsi="Helvetica" w:cs="Helvetica"/>
          <w:i/>
          <w:iCs/>
          <w:kern w:val="0"/>
          <w:sz w:val="24"/>
          <w:szCs w:val="24"/>
          <w:lang w:val="cs-CZ" w:eastAsia="cs-CZ"/>
          <w14:ligatures w14:val="none"/>
        </w:rPr>
        <w:t>System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 – Antidopingový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správny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riadiaci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systém) je internetový databázový systém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vytvorený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Svetovou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antidopingovou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agentúrou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(WADA).</w:t>
      </w:r>
    </w:p>
    <w:p w14:paraId="49FBAE18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7" w:tooltip="https://www.antidoping.sk/data/files/319_pravidla-pre-sportovcov-zaradenych-v-nrtp-a-adams.pdf" w:history="1">
        <w:proofErr w:type="gram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ADAMS -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Pravidlá</w:t>
        </w:r>
        <w:proofErr w:type="spellEnd"/>
        <w:proofErr w:type="gram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pre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športovcov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zaradených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do NRTP</w:t>
        </w:r>
      </w:hyperlink>
    </w:p>
    <w:p w14:paraId="57529FDD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Umožňuje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vkladanie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uchovávanie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zdieľanie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poskytovanie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jednotlivých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miestach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pobytu, dopingových kontrolách, terapeutických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výnimkách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(TUE)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prípadných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sankciách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voči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Táto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databáza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uľahčuje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zdieľanie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príslušnými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organizáciami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a má za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cieľ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podporovať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účinnosť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efektívnosť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transparentnosť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 Tento systém má jednoduché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použitie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je dostupný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viacerých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jazykoch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prostredníctvom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internetu je dostupný všade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24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hodín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denne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celého roka.</w:t>
      </w:r>
    </w:p>
    <w:p w14:paraId="17CBD6A0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8" w:tooltip="https://www.antidoping.sk/data/files/324_rychly-sprievodca-pre-sportovcov-adams.pdf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ADAMS –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Rýchly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sprievodca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pre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športovcov</w:t>
        </w:r>
        <w:proofErr w:type="spellEnd"/>
      </w:hyperlink>
    </w:p>
    <w:p w14:paraId="01F57CD7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Hlavným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cieľom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informovania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mieste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pobytu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uľahčiť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mimosúťažné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Poskytovanie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miestach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pobytu umožňuje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antidopingovej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lokalizovať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účely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neohlásenej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kontroly.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Takéto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základom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efektívneho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antidopingového programu.</w:t>
      </w:r>
    </w:p>
    <w:p w14:paraId="41C2E6DF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upozornený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že bol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zaradený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do „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Registra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,“ znamená to, že musí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poskytnúť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svojom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pobyte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štvrťročne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zahŕňajú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miesta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časy pravidelných činností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známych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udalostí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miesto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prespávania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tréningu,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sústredenia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práce...) a jeden 60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minútový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časový interval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každý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deň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musí</w:t>
      </w:r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dispozícii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možné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Pravidelné činnosti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60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minútový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časový interval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musia</w:t>
      </w:r>
      <w:proofErr w:type="spellEnd"/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priebežne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aktualizované.</w:t>
      </w:r>
    </w:p>
    <w:p w14:paraId="6D1FDDA4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7A86CB3E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Zoznam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zakázaných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látok</w:t>
      </w:r>
      <w:proofErr w:type="spellEnd"/>
    </w:p>
    <w:p w14:paraId="203014AB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Zoznam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látok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každoročne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vydáva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Svetová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(WADA),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pravidelne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aktualizuje,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minimálne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raz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ročne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Aktualizovaný nový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zoznam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zvyčajne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nadobúda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platnosť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každý rok 1.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januára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Zoznam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rozdeľuje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látky,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trvalo zakázané a na látky,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zakázané len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väčšinou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 rámci 24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hodín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).</w:t>
      </w:r>
    </w:p>
    <w:p w14:paraId="6F95A36F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</w:p>
    <w:p w14:paraId="5AABC5D2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9" w:tooltip="https://antidoping.sk/data/files/1336_zoznam-2024_monitorovaci%CC%81-program-2024.pdf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Zoznam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zakázaných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látok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a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metód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2024 (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svk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verzia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)</w:t>
        </w:r>
      </w:hyperlink>
    </w:p>
    <w:p w14:paraId="0AD0E3BB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0" w:tooltip="https://antidoping.sk/data/files/1334_2024list_en_final.pdf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Prohibited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list 2024 (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eng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verzia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)</w:t>
        </w:r>
      </w:hyperlink>
    </w:p>
    <w:p w14:paraId="0ABD39A1" w14:textId="77777777" w:rsidR="0055096F" w:rsidRPr="0055096F" w:rsidRDefault="00F21BD0" w:rsidP="0055096F">
      <w:pPr>
        <w:spacing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1" w:tooltip="https://antidoping.sk/data/files/1335_zmeny-zzz-2024.pdf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>Zmeny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 xml:space="preserve"> v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>Zozname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 xml:space="preserve"> zakázaných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>látok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 xml:space="preserve"> a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>metód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shd w:val="clear" w:color="auto" w:fill="FFFFFF"/>
            <w:lang w:val="cs-CZ" w:eastAsia="cs-CZ"/>
            <w14:ligatures w14:val="none"/>
          </w:rPr>
          <w:t xml:space="preserve"> 2024</w:t>
        </w:r>
      </w:hyperlink>
    </w:p>
    <w:p w14:paraId="18588DE9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2" w:tooltip="https://antidoping.sk/data/files/1333_2024_list_monitoring_program_en_final.pdf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Monitorovací program 2024 (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eng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verzia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)</w:t>
        </w:r>
      </w:hyperlink>
    </w:p>
    <w:p w14:paraId="1848F4DF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</w:p>
    <w:p w14:paraId="41E6BE97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Povinnosťou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každého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je 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vedieť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látky a </w:t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metódy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sú zakázané. </w:t>
      </w:r>
    </w:p>
    <w:p w14:paraId="4C2A8DCE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Trvalo zakázaná látka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nesmie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užívať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celého roka,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čiže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tréningu, ani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Napríklad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anabolické steroidy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užívajú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tréningu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mať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dlhotrvajúci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efekt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výkon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maskovacie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látky,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použiť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cieľom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zakrytia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užívania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látok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178F07B5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druhej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strane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užitie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látky v období mimo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zakázaná len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nepovažuje za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porušenie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pravidiel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pokiaľ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daná látka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prítomná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 tele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kontroly.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upresnenie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mnoho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látok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ostať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 tele po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dlhý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čas.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výsledok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pozitívny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látku,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užil mimo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nebola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zakázaná), ale test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pozitívny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zakázaná),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porušil antidopingové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527657F" w14:textId="77777777" w:rsidR="0055096F" w:rsidRPr="0055096F" w:rsidRDefault="0055096F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Zakázané látky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nachádzať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aj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bežných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proti bolesti,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proti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prechladnutiu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chrípke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SADA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pripravila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online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databázu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hyperlink r:id="rId13" w:tgtFrame="_blank" w:history="1"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www.zakazanelatky.sk</w:t>
        </w:r>
      </w:hyperlink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prostredníctvom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viete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overiť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či daný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obsahuje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zakázanú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látku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bližšie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kontaktuje SADA.</w:t>
      </w:r>
    </w:p>
    <w:p w14:paraId="336DA290" w14:textId="77777777" w:rsidR="0055096F" w:rsidRPr="0055096F" w:rsidRDefault="0055096F" w:rsidP="0055096F">
      <w:pPr>
        <w:spacing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Brožúru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kde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nájdete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príklady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povolených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liekov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rozčlenené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podľa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jednotlivých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skupín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ochorení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),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užívať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nájdete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tu: </w:t>
      </w:r>
      <w:hyperlink r:id="rId14" w:tgtFrame="_blank" w:tooltip="https://www.antidoping.sk/data/files/449_ada_skladacka_web.pdf" w:history="1"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Povolené </w:t>
        </w:r>
        <w:proofErr w:type="spellStart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lieky</w:t>
        </w:r>
        <w:proofErr w:type="spellEnd"/>
      </w:hyperlink>
    </w:p>
    <w:p w14:paraId="10023798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401B8E6C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Výživové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doplnky</w:t>
      </w:r>
      <w:proofErr w:type="spellEnd"/>
    </w:p>
    <w:p w14:paraId="7C3394A8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Regulácia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výživových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doplnkov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všeobecnosti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minimálna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Bežné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doplnky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ponúkané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či už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obchodoch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so zdravou výživou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internetových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obchodoch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neobsahujú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zakázané látky,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uvedené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etikete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výrobku.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posledných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rokoch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pripisuje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značný počet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pozitívnych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zle označeným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kontaminovaným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doplnkom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1DADF8C" w14:textId="77777777" w:rsidR="0055096F" w:rsidRPr="0055096F" w:rsidRDefault="0055096F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SADA v spolupráci s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farmáciou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pripravila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vzdelávací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program </w:t>
      </w:r>
      <w:hyperlink r:id="rId15" w:tgtFrame="_blank" w:history="1">
        <w:proofErr w:type="spellStart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Doplnky</w:t>
        </w:r>
        <w:proofErr w:type="spellEnd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výživy </w:t>
        </w:r>
        <w:proofErr w:type="gramStart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</w:t>
        </w:r>
        <w:proofErr w:type="gramEnd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športe</w:t>
        </w:r>
        <w:proofErr w:type="spellEnd"/>
      </w:hyperlink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,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zameraný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doplnky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výživy.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Hlavným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zámerom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funkčnosti jednotlivých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skupín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výživových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prepáratov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pohľadu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vedy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výskumu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24BEFB11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</w:p>
    <w:p w14:paraId="4DB282A8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544B4BCF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Terapeutická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výnimka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(TUE)</w:t>
      </w:r>
    </w:p>
    <w:p w14:paraId="67A829CD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6" w:tgtFrame="_blank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https://antidoping.sk/tue/</w:t>
        </w:r>
      </w:hyperlink>
    </w:p>
    <w:p w14:paraId="39588300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lastRenderedPageBreak/>
        <w:t xml:space="preserve">Jeden z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kľúčových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princípov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antidopingu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chrániť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zdravie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13A67590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dôjsť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situácii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zdravotných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dôvodov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nevyhnutné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zakázanú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látku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použiť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zakázanú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Podľa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Kódexu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možné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takúto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situáciu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riešiť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tzv. terapeutickou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výnimkou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(TUE).</w:t>
      </w:r>
    </w:p>
    <w:p w14:paraId="73F8D1A0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získanie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TUE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potrebné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splniť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niekoľko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kritérií,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napríklad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:</w:t>
      </w:r>
    </w:p>
    <w:p w14:paraId="2B8EEFCC" w14:textId="77777777" w:rsidR="0055096F" w:rsidRPr="0055096F" w:rsidRDefault="0055096F" w:rsidP="0055096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príslušná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zakázaná látka/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potrebná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účely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liečby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zdravotného stavu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utrpel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vážne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poškodenie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zdravia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 mu zakázaná látka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nebola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poskytnutá;</w:t>
      </w:r>
    </w:p>
    <w:p w14:paraId="25922493" w14:textId="77777777" w:rsidR="0055096F" w:rsidRPr="0055096F" w:rsidRDefault="0055096F" w:rsidP="0055096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jej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užitie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nepovedie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zvýšeniu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výkonnosti po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liečbe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;</w:t>
      </w:r>
    </w:p>
    <w:p w14:paraId="7291EF78" w14:textId="77777777" w:rsidR="0055096F" w:rsidRPr="0055096F" w:rsidRDefault="0055096F" w:rsidP="0055096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neexistuje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primeraná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terapeutická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alternatíva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39CC727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úrovni si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musia</w:t>
      </w:r>
      <w:proofErr w:type="spellEnd"/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vedomí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ďalšieho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dôležitého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pravidla: TUE musí byť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udelená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časovom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predstihu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retroaktívne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spätne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), okrem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situácií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ohrozujúcich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zdravie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výnimočných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situáciách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1091070D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TUE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úrovni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udeľuje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SADA. TUE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úrovni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udeľuje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príslušná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Usporiadatelia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olympijských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hier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významných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podujatí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takisto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udeliť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TUE.</w:t>
      </w:r>
    </w:p>
    <w:p w14:paraId="26C83612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Nerátajte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 tým, že TUE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udelená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SADA v rámci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úrovne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bude automaticky uznaná aj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úrovni.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prípade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akýchkoľvek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pochybností kontaktujte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vašu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usporiadateľa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významného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podujatia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9CF1ACA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</w:p>
    <w:p w14:paraId="4943B7CF" w14:textId="77777777" w:rsidR="0055096F" w:rsidRPr="0055096F" w:rsidRDefault="0055096F" w:rsidP="0055096F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odber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vzoriek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>ich</w:t>
      </w:r>
      <w:proofErr w:type="spellEnd"/>
      <w:r w:rsidRPr="0055096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cs-CZ" w:eastAsia="cs-CZ"/>
          <w14:ligatures w14:val="none"/>
        </w:rPr>
        <w:t xml:space="preserve"> analýza </w:t>
      </w:r>
    </w:p>
    <w:p w14:paraId="45EF66C7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Keď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oprávnený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komisár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kontroly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požiada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odovzdanie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vzorky, musí tak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urobiť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0C46AD53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Každá antidopingová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spravuje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konkrétneho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má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právomoc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odber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vzorky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moču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krvi,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kedykoľvek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kdekoľvek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0E73F224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agentúra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 má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právomoc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,:</w:t>
      </w:r>
      <w:proofErr w:type="gramEnd"/>
    </w:p>
    <w:p w14:paraId="111D1045" w14:textId="77777777" w:rsidR="0055096F" w:rsidRPr="0055096F" w:rsidRDefault="0055096F" w:rsidP="0055096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štátnymi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príslušníkmi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krajiny,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trvalý pobyt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krajine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držiteľmi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licencie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členmi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zväzov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asociácií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)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krajine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</w:p>
    <w:p w14:paraId="2305DB98" w14:textId="77777777" w:rsidR="0055096F" w:rsidRPr="0055096F" w:rsidRDefault="0055096F" w:rsidP="0055096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prítomní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danej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krajine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kde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vykonáva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svoju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činnosť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</w:p>
    <w:p w14:paraId="32C6165C" w14:textId="77777777" w:rsidR="0055096F" w:rsidRPr="0055096F" w:rsidRDefault="0055096F" w:rsidP="0055096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lastRenderedPageBreak/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to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požiadala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asociácia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),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ktorá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spravuje daného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74548D7A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právomoc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podliehajú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,:</w:t>
      </w:r>
      <w:proofErr w:type="gramEnd"/>
    </w:p>
    <w:p w14:paraId="6AC47B27" w14:textId="77777777" w:rsidR="0055096F" w:rsidRPr="0055096F" w:rsidRDefault="0055096F" w:rsidP="0055096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vrátane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zúčastňujúcich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medzinárodných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podujatiach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</w:t>
      </w:r>
    </w:p>
    <w:p w14:paraId="0EB56E7F" w14:textId="77777777" w:rsidR="0055096F" w:rsidRPr="0055096F" w:rsidRDefault="0055096F" w:rsidP="0055096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držiteľmi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licencie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tejto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asociácie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),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jej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priamy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členovia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615CC431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Organizátor významného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podujatia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 má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právomoc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tohto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podujatia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3EDF85A2" w14:textId="77777777" w:rsidR="0055096F" w:rsidRPr="0055096F" w:rsidRDefault="0055096F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Proces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odberu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vzorky je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štandardizovaný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viac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informácií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odbere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vzorky a vašich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právach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pozri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hyperlink r:id="rId17" w:tgtFrame="_blank" w:history="1">
        <w:r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https://antidoping.sk/dopingova-kontrola/</w:t>
        </w:r>
      </w:hyperlink>
    </w:p>
    <w:p w14:paraId="20167F08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Za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účelom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zisťovania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prítomnosti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zakázanej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látky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vzorke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využívajú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laboratória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výlučne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akreditované WADA.</w:t>
      </w:r>
    </w:p>
    <w:p w14:paraId="1A140DF5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dlho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vzorky uchovávané?</w:t>
      </w:r>
    </w:p>
    <w:p w14:paraId="0E681E63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Vzorky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moču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zmrazené, skladované a znovu otestované po dobu 10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rokov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Technológie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analýzy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vzoriek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vyvíjajú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zakázané látky 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metódy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sú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súčasnosti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detekovateľné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môžu</w:t>
      </w:r>
      <w:proofErr w:type="spellEnd"/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odhalené v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budúcnosti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4B628026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už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boli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vzorky použité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účely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odhalenia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zakázaných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látok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budú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zbavené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označenia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využité len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výskum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budú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zničené.</w:t>
      </w:r>
    </w:p>
    <w:p w14:paraId="1CDB16E3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Návrat po ukončení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aktívnej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činnosti</w:t>
      </w:r>
    </w:p>
    <w:p w14:paraId="1C09B738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ste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patrili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do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registra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národného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registra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musíte 6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mesiacov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vopred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zaslať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písomnú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žiadosť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antidopingovej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organizácií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alebo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medzinárodnej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federácií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Počas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týchto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šiestich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mesiacov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budete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podliehať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pravidlám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antidopingovej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regulácie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gram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musíte</w:t>
      </w:r>
      <w:proofErr w:type="gram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byť k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dispozícií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na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testovanie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skôr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ako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zúčastníte </w:t>
      </w:r>
      <w:proofErr w:type="spellStart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súťaže</w:t>
      </w:r>
      <w:proofErr w:type="spellEnd"/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br/>
      </w: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br/>
      </w: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Elearningové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 xml:space="preserve"> platformy</w:t>
      </w:r>
      <w:r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 </w:t>
      </w:r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sú určené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športovcov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trénerov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lekárov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,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rodičov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 ale aj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pre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širokú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 xml:space="preserve"> </w:t>
      </w:r>
      <w:proofErr w:type="spellStart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verejnosť</w:t>
      </w:r>
      <w:proofErr w:type="spellEnd"/>
      <w:r w:rsidRPr="0055096F">
        <w:rPr>
          <w:rFonts w:ascii="Helvetica" w:eastAsia="Times New Roman" w:hAnsi="Helvetica" w:cs="Helvetica"/>
          <w:kern w:val="0"/>
          <w:sz w:val="20"/>
          <w:szCs w:val="20"/>
          <w:lang w:val="cs-CZ" w:eastAsia="cs-CZ"/>
          <w14:ligatures w14:val="none"/>
        </w:rPr>
        <w:t>.</w:t>
      </w:r>
    </w:p>
    <w:p w14:paraId="3BC68E06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8" w:tgtFrame="_blank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ADEL</w:t>
        </w:r>
      </w:hyperlink>
      <w:r w:rsidR="0055096F"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 </w:t>
      </w:r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je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vzdelávacia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platforma určená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trénerov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lekárov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či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rodičov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ktorú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kompletne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vytvorila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Svetová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antidopingová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agentúra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. V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súčasnosti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na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tejto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platforme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dostupný kurz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športovcov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národnej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úrovne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aj v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slovenčine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4B435C3D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19" w:tgtFrame="_blank" w:tooltip="https://www.irunclean.org/sk/selectlanguage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I RUN CLEAN</w:t>
        </w:r>
      </w:hyperlink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 je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vzdelávacia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platforma 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Európskej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atletiky, 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ktorá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je okrem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iných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jazykov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tiež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preložená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 xml:space="preserve"> aj do </w:t>
      </w:r>
      <w:proofErr w:type="spellStart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slovenčiny</w:t>
      </w:r>
      <w:proofErr w:type="spellEnd"/>
      <w:r w:rsidR="0055096F" w:rsidRPr="0055096F"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  <w:t>.</w:t>
      </w:r>
    </w:p>
    <w:p w14:paraId="723664C0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</w:p>
    <w:p w14:paraId="2BC41CBA" w14:textId="77777777" w:rsidR="0055096F" w:rsidRPr="0055096F" w:rsidRDefault="0055096F" w:rsidP="0055096F">
      <w:pPr>
        <w:spacing w:before="150"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Videá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lang w:val="cs-CZ" w:eastAsia="cs-CZ"/>
          <w14:ligatures w14:val="none"/>
        </w:rPr>
        <w:t>:</w:t>
      </w:r>
    </w:p>
    <w:p w14:paraId="1D8ED288" w14:textId="77777777" w:rsidR="0055096F" w:rsidRPr="0055096F" w:rsidRDefault="00F21BD0" w:rsidP="0055096F">
      <w:pPr>
        <w:numPr>
          <w:ilvl w:val="0"/>
          <w:numId w:val="5"/>
        </w:numPr>
        <w:spacing w:beforeAutospacing="1" w:after="0" w:afterAutospacing="1" w:line="360" w:lineRule="atLeast"/>
        <w:rPr>
          <w:rFonts w:ascii="Helvetica" w:eastAsia="Times New Roman" w:hAnsi="Helvetica" w:cs="Helvetica"/>
          <w:kern w:val="0"/>
          <w:sz w:val="24"/>
          <w:szCs w:val="24"/>
          <w:lang w:val="cs-CZ" w:eastAsia="cs-CZ"/>
          <w14:ligatures w14:val="none"/>
        </w:rPr>
      </w:pPr>
      <w:hyperlink r:id="rId20" w:tgtFrame="_blank" w:tooltip="https://www.youtube.com/watch?v=clejMNYRQD4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Priebeh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dopingovej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kontroly</w:t>
        </w:r>
      </w:hyperlink>
    </w:p>
    <w:p w14:paraId="0B2F5F69" w14:textId="77777777" w:rsidR="0055096F" w:rsidRPr="0055096F" w:rsidRDefault="00F21BD0" w:rsidP="0055096F">
      <w:pPr>
        <w:numPr>
          <w:ilvl w:val="0"/>
          <w:numId w:val="5"/>
        </w:numPr>
        <w:spacing w:beforeAutospacing="1" w:after="0" w:afterAutospacing="1" w:line="360" w:lineRule="atLeast"/>
        <w:rPr>
          <w:rFonts w:ascii="Helvetica" w:eastAsia="Times New Roman" w:hAnsi="Helvetica" w:cs="Helvetica"/>
          <w:color w:val="007C89"/>
          <w:kern w:val="0"/>
          <w:sz w:val="24"/>
          <w:szCs w:val="24"/>
          <w:lang w:val="cs-CZ" w:eastAsia="cs-CZ"/>
          <w14:ligatures w14:val="none"/>
        </w:rPr>
      </w:pPr>
      <w:hyperlink r:id="rId21" w:tgtFrame="_blank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Mr. </w:t>
        </w:r>
        <w:proofErr w:type="spellStart"/>
        <w:proofErr w:type="gram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Dop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-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Čo</w:t>
        </w:r>
        <w:proofErr w:type="spellEnd"/>
        <w:proofErr w:type="gram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som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Ti dal, to mi raz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vrátiš</w:t>
        </w:r>
        <w:proofErr w:type="spellEnd"/>
      </w:hyperlink>
    </w:p>
    <w:p w14:paraId="336BF4DF" w14:textId="77777777" w:rsidR="0055096F" w:rsidRPr="0055096F" w:rsidRDefault="00F21BD0" w:rsidP="0055096F">
      <w:pPr>
        <w:numPr>
          <w:ilvl w:val="0"/>
          <w:numId w:val="5"/>
        </w:numPr>
        <w:spacing w:beforeAutospacing="1" w:after="0" w:afterAutospacing="1" w:line="360" w:lineRule="atLeast"/>
        <w:rPr>
          <w:rFonts w:ascii="Helvetica" w:eastAsia="Times New Roman" w:hAnsi="Helvetica" w:cs="Helvetica"/>
          <w:color w:val="007C89"/>
          <w:kern w:val="0"/>
          <w:sz w:val="24"/>
          <w:szCs w:val="24"/>
          <w:lang w:val="cs-CZ" w:eastAsia="cs-CZ"/>
          <w14:ligatures w14:val="none"/>
        </w:rPr>
      </w:pPr>
      <w:hyperlink r:id="rId22" w:tgtFrame="_blank" w:history="1"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Andreas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Krieger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príbeh</w:t>
        </w:r>
        <w:proofErr w:type="spellEnd"/>
      </w:hyperlink>
    </w:p>
    <w:p w14:paraId="4F9DCB8E" w14:textId="77777777" w:rsidR="0055096F" w:rsidRPr="0055096F" w:rsidRDefault="0055096F" w:rsidP="0055096F">
      <w:pPr>
        <w:spacing w:beforeAutospacing="1" w:after="0" w:afterAutospacing="1" w:line="360" w:lineRule="atLeast"/>
        <w:ind w:left="720"/>
        <w:rPr>
          <w:rFonts w:ascii="Helvetica" w:eastAsia="Times New Roman" w:hAnsi="Helvetica" w:cs="Helvetica"/>
          <w:color w:val="007C89"/>
          <w:kern w:val="0"/>
          <w:sz w:val="24"/>
          <w:szCs w:val="24"/>
          <w:lang w:val="cs-CZ" w:eastAsia="cs-CZ"/>
          <w14:ligatures w14:val="none"/>
        </w:rPr>
      </w:pPr>
    </w:p>
    <w:p w14:paraId="7396D76E" w14:textId="77777777" w:rsidR="0055096F" w:rsidRPr="0055096F" w:rsidRDefault="0055096F" w:rsidP="0055096F">
      <w:pPr>
        <w:spacing w:after="15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val="cs-CZ" w:eastAsia="cs-CZ"/>
          <w14:ligatures w14:val="none"/>
        </w:rPr>
        <w:t>Podcasty</w:t>
      </w:r>
      <w:proofErr w:type="spellEnd"/>
      <w:r w:rsidRPr="0055096F">
        <w:rPr>
          <w:rFonts w:ascii="Helvetica" w:eastAsia="Times New Roman" w:hAnsi="Helvetica" w:cs="Helvetica"/>
          <w:b/>
          <w:bCs/>
          <w:kern w:val="0"/>
          <w:sz w:val="24"/>
          <w:szCs w:val="24"/>
          <w:shd w:val="clear" w:color="auto" w:fill="FFFFFF"/>
          <w:lang w:val="cs-CZ" w:eastAsia="cs-CZ"/>
          <w14:ligatures w14:val="none"/>
        </w:rPr>
        <w:t>:</w:t>
      </w:r>
    </w:p>
    <w:p w14:paraId="7CD396C9" w14:textId="77777777" w:rsidR="0055096F" w:rsidRPr="0055096F" w:rsidRDefault="00F21BD0" w:rsidP="0055096F">
      <w:pPr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  <w14:ligatures w14:val="none"/>
        </w:rPr>
      </w:pPr>
      <w:hyperlink r:id="rId23" w:tgtFrame="_blank" w:tooltip="https://www.buzzsprout.com/1310941" w:history="1"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Podcasty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antidopingovej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</w:t>
        </w:r>
        <w:proofErr w:type="spellStart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>agentúry</w:t>
        </w:r>
        <w:proofErr w:type="spellEnd"/>
        <w:r w:rsidR="0055096F" w:rsidRPr="0055096F">
          <w:rPr>
            <w:rFonts w:ascii="Helvetica" w:eastAsia="Times New Roman" w:hAnsi="Helvetica" w:cs="Helvetica"/>
            <w:color w:val="0000FF"/>
            <w:kern w:val="0"/>
            <w:sz w:val="24"/>
            <w:szCs w:val="24"/>
            <w:u w:val="single"/>
            <w:lang w:val="cs-CZ" w:eastAsia="cs-CZ"/>
            <w14:ligatures w14:val="none"/>
          </w:rPr>
          <w:t xml:space="preserve"> SR</w:t>
        </w:r>
      </w:hyperlink>
    </w:p>
    <w:p w14:paraId="659F3FB2" w14:textId="77777777"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7290"/>
    <w:multiLevelType w:val="multilevel"/>
    <w:tmpl w:val="9A5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5E009B"/>
    <w:multiLevelType w:val="multilevel"/>
    <w:tmpl w:val="C55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01F5E"/>
    <w:multiLevelType w:val="multilevel"/>
    <w:tmpl w:val="344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A1325"/>
    <w:multiLevelType w:val="multilevel"/>
    <w:tmpl w:val="40F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03F20"/>
    <w:multiLevelType w:val="multilevel"/>
    <w:tmpl w:val="CE9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856944">
    <w:abstractNumId w:val="3"/>
  </w:num>
  <w:num w:numId="2" w16cid:durableId="1213617307">
    <w:abstractNumId w:val="0"/>
  </w:num>
  <w:num w:numId="3" w16cid:durableId="715081021">
    <w:abstractNumId w:val="4"/>
  </w:num>
  <w:num w:numId="4" w16cid:durableId="350960700">
    <w:abstractNumId w:val="1"/>
  </w:num>
  <w:num w:numId="5" w16cid:durableId="172532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F"/>
    <w:rsid w:val="0055096F"/>
    <w:rsid w:val="0076595C"/>
    <w:rsid w:val="007661A3"/>
    <w:rsid w:val="00E05218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6A86"/>
  <w15:chartTrackingRefBased/>
  <w15:docId w15:val="{928D7481-548E-4260-900E-383DB4F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55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09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5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customStyle="1" w:styleId="elementtoproof">
    <w:name w:val="elementtoproof"/>
    <w:basedOn w:val="Normln"/>
    <w:rsid w:val="0055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5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sk/data/files/324_rychly-sprievodca-pre-sportovcov-adams.pdf" TargetMode="External"/><Relationship Id="rId13" Type="http://schemas.openxmlformats.org/officeDocument/2006/relationships/hyperlink" Target="https://www.zakazanelatky.sk/" TargetMode="External"/><Relationship Id="rId18" Type="http://schemas.openxmlformats.org/officeDocument/2006/relationships/hyperlink" Target="https://adel.wada-am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okcc828hTepeY0G3FKzWg" TargetMode="External"/><Relationship Id="rId7" Type="http://schemas.openxmlformats.org/officeDocument/2006/relationships/hyperlink" Target="https://www.antidoping.sk/data/files/319_pravidla-pre-sportovcov-zaradenych-v-nrtp-a-adams.pdf" TargetMode="External"/><Relationship Id="rId12" Type="http://schemas.openxmlformats.org/officeDocument/2006/relationships/hyperlink" Target="https://antidoping.sk/data/files/1333_2024_list_monitoring_program_en_final.pdf" TargetMode="External"/><Relationship Id="rId17" Type="http://schemas.openxmlformats.org/officeDocument/2006/relationships/hyperlink" Target="https://antidoping.sk/dopingova-kontrol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tidoping.sk/tue/" TargetMode="External"/><Relationship Id="rId20" Type="http://schemas.openxmlformats.org/officeDocument/2006/relationships/hyperlink" Target="https://www.youtube.com/watch?v=clejMNYRQ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2021_wada_code.pdf" TargetMode="External"/><Relationship Id="rId11" Type="http://schemas.openxmlformats.org/officeDocument/2006/relationships/hyperlink" Target="https://antidoping.sk/data/files/1335_zmeny-zzz-2024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ntidoping.sk/data/files/760_2021_code.pdf" TargetMode="External"/><Relationship Id="rId15" Type="http://schemas.openxmlformats.org/officeDocument/2006/relationships/hyperlink" Target="https://antidoping.sk/vyzivove-doplnky/" TargetMode="External"/><Relationship Id="rId23" Type="http://schemas.openxmlformats.org/officeDocument/2006/relationships/hyperlink" Target="https://www.buzzsprout.com/1310941" TargetMode="External"/><Relationship Id="rId10" Type="http://schemas.openxmlformats.org/officeDocument/2006/relationships/hyperlink" Target="https://antidoping.sk/data/files/1334_2024list_en_final.pdf" TargetMode="External"/><Relationship Id="rId19" Type="http://schemas.openxmlformats.org/officeDocument/2006/relationships/hyperlink" Target="https://www.irunclean.org/sk/select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doping.sk/data/files/1336_zoznam-2024_monitorovaci%CC%81-program-2024.pdf" TargetMode="External"/><Relationship Id="rId14" Type="http://schemas.openxmlformats.org/officeDocument/2006/relationships/hyperlink" Target="https://www.antidoping.sk/data/files/449_ada_skladacka_web.pdf" TargetMode="External"/><Relationship Id="rId22" Type="http://schemas.openxmlformats.org/officeDocument/2006/relationships/hyperlink" Target="https://www.andreas-krieger-story.org/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dcterms:created xsi:type="dcterms:W3CDTF">2023-11-14T12:43:00Z</dcterms:created>
  <dcterms:modified xsi:type="dcterms:W3CDTF">2023-11-14T12:43:00Z</dcterms:modified>
</cp:coreProperties>
</file>