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0A8" w:rsidRDefault="0049307C" w:rsidP="007661CD">
      <w:pPr>
        <w:jc w:val="center"/>
        <w:rPr>
          <w:lang w:val="cs-CZ"/>
        </w:rPr>
      </w:pPr>
      <w:r>
        <w:rPr>
          <w:b/>
          <w:bCs/>
          <w:sz w:val="24"/>
          <w:szCs w:val="24"/>
          <w:u w:val="single"/>
          <w:lang w:val="cs-CZ"/>
        </w:rPr>
        <w:t xml:space="preserve">Rozpočet na </w:t>
      </w:r>
      <w:proofErr w:type="gramStart"/>
      <w:r>
        <w:rPr>
          <w:b/>
          <w:bCs/>
          <w:sz w:val="24"/>
          <w:szCs w:val="24"/>
          <w:u w:val="single"/>
          <w:lang w:val="cs-CZ"/>
        </w:rPr>
        <w:t xml:space="preserve">rok </w:t>
      </w:r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20</w:t>
      </w:r>
      <w:r>
        <w:rPr>
          <w:b/>
          <w:bCs/>
          <w:sz w:val="24"/>
          <w:szCs w:val="24"/>
          <w:u w:val="single"/>
          <w:lang w:val="cs-CZ"/>
        </w:rPr>
        <w:t>20</w:t>
      </w:r>
      <w:proofErr w:type="gramEnd"/>
      <w:r>
        <w:rPr>
          <w:b/>
          <w:bCs/>
          <w:sz w:val="24"/>
          <w:szCs w:val="24"/>
          <w:u w:val="single"/>
          <w:lang w:val="cs-CZ"/>
        </w:rPr>
        <w:t xml:space="preserve"> (návrh)</w:t>
      </w:r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– Slovenský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zväz</w:t>
      </w:r>
      <w:proofErr w:type="spellEnd"/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moderného</w:t>
      </w:r>
      <w:proofErr w:type="spellEnd"/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päťboja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Položka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Návrh rozpočtu 2020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Plnenie</w:t>
            </w:r>
            <w:proofErr w:type="spellEnd"/>
            <w:r>
              <w:rPr>
                <w:b/>
                <w:bCs/>
                <w:lang w:val="cs-CZ"/>
              </w:rPr>
              <w:t xml:space="preserve"> rozpočtu 2020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Návrh rozpočtu 2019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center"/>
              <w:rPr>
                <w:sz w:val="18"/>
                <w:szCs w:val="18"/>
                <w:lang w:val="cs-CZ"/>
              </w:rPr>
            </w:pPr>
            <w:r w:rsidRPr="00DB40A8">
              <w:rPr>
                <w:sz w:val="18"/>
                <w:szCs w:val="18"/>
                <w:lang w:val="cs-CZ"/>
              </w:rPr>
              <w:t>Činnost SZMP a sekretariát SZMP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Telefón</w:t>
            </w:r>
            <w:proofErr w:type="spellEnd"/>
            <w:r>
              <w:rPr>
                <w:sz w:val="18"/>
                <w:szCs w:val="18"/>
                <w:lang w:val="cs-CZ"/>
              </w:rPr>
              <w:t>, internet, poštovné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Náhrady </w:t>
            </w:r>
            <w:proofErr w:type="spellStart"/>
            <w:r>
              <w:rPr>
                <w:sz w:val="18"/>
                <w:szCs w:val="18"/>
                <w:lang w:val="cs-CZ"/>
              </w:rPr>
              <w:t>kontrolóra</w:t>
            </w:r>
            <w:proofErr w:type="spellEnd"/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Kancelárske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potřeby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630,00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630,00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Schôdze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zasadnutia</w:t>
            </w:r>
            <w:proofErr w:type="spellEnd"/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Členské za členstvo v organ.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950,00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Bankové poplatky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Audit, </w:t>
            </w:r>
            <w:proofErr w:type="spellStart"/>
            <w:r>
              <w:rPr>
                <w:sz w:val="18"/>
                <w:szCs w:val="18"/>
                <w:lang w:val="cs-CZ"/>
              </w:rPr>
              <w:t>právne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služby, služby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2400,00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Nájomné</w:t>
            </w:r>
            <w:proofErr w:type="spellEnd"/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Mzdy a dohody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6494,00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6500,00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Domáce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súťaže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M-SR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5500,00</w:t>
            </w:r>
          </w:p>
        </w:tc>
      </w:tr>
      <w:tr w:rsidR="00130E6E" w:rsidTr="00DB40A8">
        <w:tc>
          <w:tcPr>
            <w:tcW w:w="2265" w:type="dxa"/>
          </w:tcPr>
          <w:p w:rsidR="00130E6E" w:rsidRPr="00041C13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 w:rsidRPr="00041C13">
              <w:rPr>
                <w:b/>
                <w:bCs/>
                <w:sz w:val="18"/>
                <w:szCs w:val="18"/>
                <w:lang w:val="cs-CZ"/>
              </w:rPr>
              <w:t>Náklady spolu</w:t>
            </w:r>
          </w:p>
        </w:tc>
        <w:tc>
          <w:tcPr>
            <w:tcW w:w="2265" w:type="dxa"/>
          </w:tcPr>
          <w:p w:rsidR="00130E6E" w:rsidRPr="00041C13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17924</w:t>
            </w:r>
            <w:r w:rsidRPr="00041C13">
              <w:rPr>
                <w:i/>
                <w:iCs/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:rsidR="00130E6E" w:rsidRPr="00041C13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041C13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 w:rsidRPr="00041C13">
              <w:rPr>
                <w:i/>
                <w:iCs/>
                <w:sz w:val="18"/>
                <w:szCs w:val="18"/>
                <w:lang w:val="cs-CZ"/>
              </w:rPr>
              <w:t>18180,00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center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Príprava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zabezpečenie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reprezentácia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s-CZ"/>
              </w:rPr>
              <w:t>súťaže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</w:t>
            </w:r>
            <w:proofErr w:type="spellStart"/>
            <w:r>
              <w:rPr>
                <w:sz w:val="18"/>
                <w:szCs w:val="18"/>
                <w:lang w:val="cs-CZ"/>
              </w:rPr>
              <w:t>zahraničie</w:t>
            </w:r>
            <w:proofErr w:type="spellEnd"/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4400,00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5400,00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doma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testy RD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kval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MS a ME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SP</w:t>
            </w:r>
          </w:p>
        </w:tc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7500,00</w:t>
            </w: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7500,00</w:t>
            </w: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25400,00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31000,00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</w:t>
            </w:r>
            <w:proofErr w:type="spellStart"/>
            <w:r>
              <w:rPr>
                <w:sz w:val="18"/>
                <w:szCs w:val="18"/>
                <w:lang w:val="cs-CZ"/>
              </w:rPr>
              <w:t>zahraničie</w:t>
            </w:r>
            <w:proofErr w:type="spellEnd"/>
          </w:p>
        </w:tc>
        <w:tc>
          <w:tcPr>
            <w:tcW w:w="2265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doma</w:t>
            </w:r>
          </w:p>
        </w:tc>
        <w:tc>
          <w:tcPr>
            <w:tcW w:w="2265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testy RD</w:t>
            </w:r>
          </w:p>
        </w:tc>
        <w:tc>
          <w:tcPr>
            <w:tcW w:w="2265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kval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</w:p>
        </w:tc>
        <w:tc>
          <w:tcPr>
            <w:tcW w:w="2265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MS a ME</w:t>
            </w:r>
          </w:p>
        </w:tc>
        <w:tc>
          <w:tcPr>
            <w:tcW w:w="2265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7000,00</w:t>
            </w: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</w:tr>
      <w:tr w:rsidR="00130E6E" w:rsidTr="00DB40A8">
        <w:tc>
          <w:tcPr>
            <w:tcW w:w="2265" w:type="dxa"/>
          </w:tcPr>
          <w:p w:rsidR="00130E6E" w:rsidRPr="00DB40A8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OH </w:t>
            </w:r>
            <w:proofErr w:type="spellStart"/>
            <w:r>
              <w:rPr>
                <w:sz w:val="18"/>
                <w:szCs w:val="18"/>
                <w:lang w:val="cs-CZ"/>
              </w:rPr>
              <w:t>nádeje</w:t>
            </w:r>
            <w:proofErr w:type="spellEnd"/>
          </w:p>
        </w:tc>
        <w:tc>
          <w:tcPr>
            <w:tcW w:w="2265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1C2F0D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16300,00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20600,00</w:t>
            </w: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center"/>
              <w:rPr>
                <w:sz w:val="18"/>
                <w:szCs w:val="18"/>
                <w:lang w:val="cs-CZ"/>
              </w:rPr>
            </w:pPr>
            <w:r w:rsidRPr="00E445E2">
              <w:rPr>
                <w:sz w:val="18"/>
                <w:szCs w:val="18"/>
                <w:lang w:val="cs-CZ"/>
              </w:rPr>
              <w:t xml:space="preserve">Nákup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športového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materiálu a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vybavenia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pre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Materiál a </w:t>
            </w:r>
            <w:proofErr w:type="spellStart"/>
            <w:r>
              <w:rPr>
                <w:sz w:val="18"/>
                <w:szCs w:val="18"/>
                <w:lang w:val="cs-CZ"/>
              </w:rPr>
              <w:t>vybavenie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Výživové </w:t>
            </w:r>
            <w:proofErr w:type="spellStart"/>
            <w:r>
              <w:rPr>
                <w:sz w:val="18"/>
                <w:szCs w:val="18"/>
                <w:lang w:val="cs-CZ"/>
              </w:rPr>
              <w:t>doplnky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Zdravotné </w:t>
            </w:r>
            <w:proofErr w:type="spellStart"/>
            <w:r>
              <w:rPr>
                <w:sz w:val="18"/>
                <w:szCs w:val="18"/>
                <w:lang w:val="cs-CZ"/>
              </w:rPr>
              <w:t>zabezpečenie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Školenia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semináre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cs-CZ"/>
              </w:rPr>
              <w:t>Telefón,internet</w:t>
            </w:r>
            <w:proofErr w:type="gramEnd"/>
            <w:r>
              <w:rPr>
                <w:sz w:val="18"/>
                <w:szCs w:val="18"/>
                <w:lang w:val="cs-CZ"/>
              </w:rPr>
              <w:t>,poštovné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Poistenie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Doprava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Mzdy </w:t>
            </w:r>
            <w:proofErr w:type="spellStart"/>
            <w:r>
              <w:rPr>
                <w:sz w:val="18"/>
                <w:szCs w:val="18"/>
                <w:lang w:val="cs-CZ"/>
              </w:rPr>
              <w:t>trénerov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11900,00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RD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iné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21600,00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9100,00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RD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63300,00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60700,00</w:t>
            </w:r>
          </w:p>
        </w:tc>
      </w:tr>
      <w:tr w:rsidR="00130E6E" w:rsidTr="00DB40A8">
        <w:tc>
          <w:tcPr>
            <w:tcW w:w="2265" w:type="dxa"/>
          </w:tcPr>
          <w:p w:rsidR="00130E6E" w:rsidRPr="00B727A4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Nákady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na činnost mládeže v </w:t>
            </w:r>
            <w:proofErr w:type="spellStart"/>
            <w:r>
              <w:rPr>
                <w:sz w:val="18"/>
                <w:szCs w:val="18"/>
                <w:lang w:val="cs-CZ"/>
              </w:rPr>
              <w:t>kluboch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talentovanej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mládeže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</w:t>
            </w:r>
            <w:proofErr w:type="spellStart"/>
            <w:r>
              <w:rPr>
                <w:sz w:val="18"/>
                <w:szCs w:val="18"/>
                <w:lang w:val="cs-CZ"/>
              </w:rPr>
              <w:t>Grafon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L. Mikuláš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35%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 6707,40 EUR)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Raja </w:t>
            </w:r>
            <w:proofErr w:type="spellStart"/>
            <w:r>
              <w:rPr>
                <w:sz w:val="18"/>
                <w:szCs w:val="18"/>
                <w:lang w:val="cs-CZ"/>
              </w:rPr>
              <w:t>Ban</w:t>
            </w:r>
            <w:proofErr w:type="spellEnd"/>
            <w:r>
              <w:rPr>
                <w:sz w:val="18"/>
                <w:szCs w:val="18"/>
                <w:lang w:val="cs-CZ"/>
              </w:rPr>
              <w:t>. Bystrica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50%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 9582,00 EUR)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21500,00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Dukla MP </w:t>
            </w:r>
            <w:proofErr w:type="spellStart"/>
            <w:r>
              <w:rPr>
                <w:sz w:val="18"/>
                <w:szCs w:val="18"/>
                <w:lang w:val="cs-CZ"/>
              </w:rPr>
              <w:t>Ban</w:t>
            </w:r>
            <w:proofErr w:type="spellEnd"/>
            <w:r>
              <w:rPr>
                <w:sz w:val="18"/>
                <w:szCs w:val="18"/>
                <w:lang w:val="cs-CZ"/>
              </w:rPr>
              <w:t>. Bystrica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15%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 2874,60 EUR)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14600,00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17000,00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lastRenderedPageBreak/>
              <w:t>Nákp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športového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vybavenia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účast </w:t>
            </w:r>
            <w:proofErr w:type="spellStart"/>
            <w:r>
              <w:rPr>
                <w:sz w:val="18"/>
                <w:szCs w:val="18"/>
                <w:lang w:val="cs-CZ"/>
              </w:rPr>
              <w:t>klubov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na </w:t>
            </w:r>
            <w:proofErr w:type="spellStart"/>
            <w:r>
              <w:rPr>
                <w:sz w:val="18"/>
                <w:szCs w:val="18"/>
                <w:lang w:val="cs-CZ"/>
              </w:rPr>
              <w:t>pretekoch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 zahraničí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Nákup </w:t>
            </w:r>
            <w:proofErr w:type="spellStart"/>
            <w:r>
              <w:rPr>
                <w:sz w:val="18"/>
                <w:szCs w:val="18"/>
                <w:lang w:val="cs-CZ"/>
              </w:rPr>
              <w:t>materiáli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 zahraničí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kluby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21464,00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35600,00</w:t>
            </w: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talent. ml.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25600,00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28000,00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mládež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47064,00</w:t>
            </w: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E445E2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63600,00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Celkové </w:t>
            </w:r>
            <w:proofErr w:type="spellStart"/>
            <w:r>
              <w:rPr>
                <w:sz w:val="18"/>
                <w:szCs w:val="18"/>
                <w:lang w:val="cs-CZ"/>
              </w:rPr>
              <w:t>príjmy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zväzu</w:t>
            </w:r>
            <w:proofErr w:type="spellEnd"/>
          </w:p>
        </w:tc>
        <w:tc>
          <w:tcPr>
            <w:tcW w:w="2265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Príspevok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uznanému </w:t>
            </w:r>
            <w:proofErr w:type="spellStart"/>
            <w:r>
              <w:rPr>
                <w:sz w:val="18"/>
                <w:szCs w:val="18"/>
                <w:lang w:val="cs-CZ"/>
              </w:rPr>
              <w:t>športu</w:t>
            </w:r>
            <w:proofErr w:type="spellEnd"/>
          </w:p>
        </w:tc>
        <w:tc>
          <w:tcPr>
            <w:tcW w:w="2265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127758,00</w:t>
            </w:r>
          </w:p>
        </w:tc>
        <w:tc>
          <w:tcPr>
            <w:tcW w:w="2266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Pr="00691587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141222,00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Členské </w:t>
            </w:r>
            <w:proofErr w:type="spellStart"/>
            <w:r>
              <w:rPr>
                <w:sz w:val="18"/>
                <w:szCs w:val="18"/>
                <w:lang w:val="cs-CZ"/>
              </w:rPr>
              <w:t>príspevky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530,00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420,00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Príjmy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128288,00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141642,00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Odpisy DDNM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Odpisy DDHM</w:t>
            </w: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Náklady spolu</w:t>
            </w:r>
          </w:p>
        </w:tc>
        <w:tc>
          <w:tcPr>
            <w:tcW w:w="2265" w:type="dxa"/>
          </w:tcPr>
          <w:p w:rsidR="00130E6E" w:rsidRPr="00130E6E" w:rsidRDefault="00130E6E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 w:rsidRPr="00130E6E">
              <w:rPr>
                <w:b/>
                <w:bCs/>
                <w:sz w:val="18"/>
                <w:szCs w:val="18"/>
                <w:lang w:val="cs-CZ"/>
              </w:rPr>
              <w:t>128288,00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141380,00</w:t>
            </w: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130E6E" w:rsidTr="00DB40A8">
        <w:tc>
          <w:tcPr>
            <w:tcW w:w="2265" w:type="dxa"/>
          </w:tcPr>
          <w:p w:rsidR="00130E6E" w:rsidRDefault="00130E6E" w:rsidP="00130E6E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hospodárenia</w:t>
            </w:r>
            <w:proofErr w:type="spellEnd"/>
          </w:p>
        </w:tc>
        <w:tc>
          <w:tcPr>
            <w:tcW w:w="2265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Predpokladané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náklady 128288,00</w:t>
            </w:r>
          </w:p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hospodárenia</w:t>
            </w:r>
            <w:proofErr w:type="spellEnd"/>
          </w:p>
          <w:p w:rsidR="00130E6E" w:rsidRPr="004C1FE5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:rsidR="00130E6E" w:rsidRPr="004C1FE5" w:rsidRDefault="00424CF3" w:rsidP="00130E6E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Skutočné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náklady 2020</w:t>
            </w:r>
            <w:r w:rsidR="00130E6E">
              <w:rPr>
                <w:b/>
                <w:bCs/>
                <w:sz w:val="18"/>
                <w:szCs w:val="18"/>
                <w:lang w:val="cs-CZ"/>
              </w:rPr>
              <w:t xml:space="preserve"> – </w:t>
            </w:r>
          </w:p>
        </w:tc>
        <w:tc>
          <w:tcPr>
            <w:tcW w:w="2266" w:type="dxa"/>
          </w:tcPr>
          <w:p w:rsidR="00130E6E" w:rsidRDefault="00130E6E" w:rsidP="00130E6E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hospodárenia</w:t>
            </w:r>
            <w:proofErr w:type="spellEnd"/>
          </w:p>
          <w:p w:rsidR="00130E6E" w:rsidRDefault="00424CF3" w:rsidP="00130E6E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+262</w:t>
            </w:r>
            <w:r w:rsidR="00130E6E">
              <w:rPr>
                <w:i/>
                <w:iCs/>
                <w:sz w:val="18"/>
                <w:szCs w:val="18"/>
                <w:lang w:val="cs-CZ"/>
              </w:rPr>
              <w:t>,00</w:t>
            </w:r>
          </w:p>
        </w:tc>
      </w:tr>
    </w:tbl>
    <w:p w:rsidR="00DB40A8" w:rsidRDefault="00DB40A8" w:rsidP="00DB40A8">
      <w:pPr>
        <w:jc w:val="both"/>
        <w:rPr>
          <w:lang w:val="cs-CZ"/>
        </w:rPr>
      </w:pPr>
    </w:p>
    <w:p w:rsidR="0049307C" w:rsidRPr="00DB40A8" w:rsidRDefault="0049307C" w:rsidP="00DB40A8">
      <w:pPr>
        <w:jc w:val="both"/>
        <w:rPr>
          <w:lang w:val="cs-CZ"/>
        </w:rPr>
      </w:pPr>
      <w:proofErr w:type="spellStart"/>
      <w:r>
        <w:rPr>
          <w:lang w:val="cs-CZ"/>
        </w:rPr>
        <w:t>Percentá</w:t>
      </w:r>
      <w:proofErr w:type="spellEnd"/>
      <w:r>
        <w:rPr>
          <w:lang w:val="cs-CZ"/>
        </w:rPr>
        <w:t xml:space="preserve"> uvedené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znamenajú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akým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percentuálnym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pomerom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zvyšné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prostriedky</w:t>
      </w:r>
      <w:proofErr w:type="spellEnd"/>
      <w:r>
        <w:rPr>
          <w:lang w:val="cs-CZ"/>
        </w:rPr>
        <w:t xml:space="preserve"> ku </w:t>
      </w:r>
      <w:proofErr w:type="spellStart"/>
      <w:r>
        <w:rPr>
          <w:lang w:val="cs-CZ"/>
        </w:rPr>
        <w:t>koncu</w:t>
      </w:r>
      <w:proofErr w:type="spellEnd"/>
      <w:r>
        <w:rPr>
          <w:lang w:val="cs-CZ"/>
        </w:rPr>
        <w:t xml:space="preserve"> rok</w:t>
      </w:r>
      <w:r w:rsidR="00424CF3">
        <w:rPr>
          <w:lang w:val="cs-CZ"/>
        </w:rPr>
        <w:t>u</w:t>
      </w:r>
      <w:r>
        <w:rPr>
          <w:lang w:val="cs-CZ"/>
        </w:rPr>
        <w:t xml:space="preserve"> </w:t>
      </w:r>
      <w:r w:rsidR="00424CF3">
        <w:rPr>
          <w:lang w:val="cs-CZ"/>
        </w:rPr>
        <w:t xml:space="preserve">2019 </w:t>
      </w:r>
      <w:proofErr w:type="spellStart"/>
      <w:r>
        <w:rPr>
          <w:lang w:val="cs-CZ"/>
        </w:rPr>
        <w:t>prerozdeli</w:t>
      </w:r>
      <w:r w:rsidR="00424CF3">
        <w:rPr>
          <w:lang w:val="cs-CZ"/>
        </w:rPr>
        <w:t>li</w:t>
      </w:r>
      <w:proofErr w:type="spellEnd"/>
      <w:r>
        <w:rPr>
          <w:lang w:val="cs-CZ"/>
        </w:rPr>
        <w:t xml:space="preserve"> jednotlivým </w:t>
      </w:r>
      <w:proofErr w:type="spellStart"/>
      <w:r>
        <w:rPr>
          <w:lang w:val="cs-CZ"/>
        </w:rPr>
        <w:t>klubom</w:t>
      </w:r>
      <w:proofErr w:type="spellEnd"/>
      <w:r w:rsidR="00424CF3">
        <w:rPr>
          <w:lang w:val="cs-CZ"/>
        </w:rPr>
        <w:t xml:space="preserve">, </w:t>
      </w:r>
      <w:proofErr w:type="spellStart"/>
      <w:r w:rsidR="00424CF3">
        <w:rPr>
          <w:lang w:val="cs-CZ"/>
        </w:rPr>
        <w:t>čo</w:t>
      </w:r>
      <w:proofErr w:type="spellEnd"/>
      <w:r w:rsidR="00424CF3">
        <w:rPr>
          <w:lang w:val="cs-CZ"/>
        </w:rPr>
        <w:t xml:space="preserve"> je </w:t>
      </w:r>
      <w:proofErr w:type="spellStart"/>
      <w:r w:rsidR="00424CF3">
        <w:rPr>
          <w:lang w:val="cs-CZ"/>
        </w:rPr>
        <w:t>predpoklad</w:t>
      </w:r>
      <w:proofErr w:type="spellEnd"/>
      <w:r w:rsidR="00424CF3">
        <w:rPr>
          <w:lang w:val="cs-CZ"/>
        </w:rPr>
        <w:t xml:space="preserve"> výpočtu min. </w:t>
      </w:r>
      <w:proofErr w:type="spellStart"/>
      <w:r w:rsidR="00424CF3">
        <w:rPr>
          <w:lang w:val="cs-CZ"/>
        </w:rPr>
        <w:t>čiastky</w:t>
      </w:r>
      <w:proofErr w:type="spellEnd"/>
      <w:r w:rsidR="00424CF3">
        <w:rPr>
          <w:lang w:val="cs-CZ"/>
        </w:rPr>
        <w:t xml:space="preserve"> </w:t>
      </w:r>
      <w:proofErr w:type="spellStart"/>
      <w:r w:rsidR="00424CF3">
        <w:rPr>
          <w:lang w:val="cs-CZ"/>
        </w:rPr>
        <w:t>pre</w:t>
      </w:r>
      <w:proofErr w:type="spellEnd"/>
      <w:r w:rsidR="00424CF3">
        <w:rPr>
          <w:lang w:val="cs-CZ"/>
        </w:rPr>
        <w:t xml:space="preserve"> kluby na rok 2020</w:t>
      </w:r>
      <w:r>
        <w:rPr>
          <w:lang w:val="cs-CZ"/>
        </w:rPr>
        <w:t xml:space="preserve">. Uvedená min. </w:t>
      </w:r>
      <w:proofErr w:type="spellStart"/>
      <w:r>
        <w:rPr>
          <w:lang w:val="cs-CZ"/>
        </w:rPr>
        <w:t>finančná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čiastka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kluboch</w:t>
      </w:r>
      <w:proofErr w:type="spellEnd"/>
      <w:r>
        <w:rPr>
          <w:lang w:val="cs-CZ"/>
        </w:rPr>
        <w:t xml:space="preserve"> je povinné min. </w:t>
      </w:r>
      <w:proofErr w:type="spellStart"/>
      <w:r>
        <w:rPr>
          <w:lang w:val="cs-CZ"/>
        </w:rPr>
        <w:t>financovanie</w:t>
      </w:r>
      <w:proofErr w:type="spellEnd"/>
      <w:r>
        <w:rPr>
          <w:lang w:val="cs-CZ"/>
        </w:rPr>
        <w:t xml:space="preserve"> klubu </w:t>
      </w:r>
      <w:proofErr w:type="spellStart"/>
      <w:r>
        <w:rPr>
          <w:lang w:val="cs-CZ"/>
        </w:rPr>
        <w:t>pracujúceho</w:t>
      </w:r>
      <w:proofErr w:type="spellEnd"/>
      <w:r>
        <w:rPr>
          <w:lang w:val="cs-CZ"/>
        </w:rPr>
        <w:t xml:space="preserve"> s </w:t>
      </w:r>
      <w:proofErr w:type="spellStart"/>
      <w:r>
        <w:rPr>
          <w:lang w:val="cs-CZ"/>
        </w:rPr>
        <w:t>mládežou</w:t>
      </w:r>
      <w:proofErr w:type="spellEnd"/>
      <w:r>
        <w:rPr>
          <w:lang w:val="cs-CZ"/>
        </w:rPr>
        <w:t xml:space="preserve"> do 23 </w:t>
      </w:r>
      <w:proofErr w:type="spellStart"/>
      <w:r>
        <w:rPr>
          <w:lang w:val="cs-CZ"/>
        </w:rPr>
        <w:t>rokov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ktorá</w:t>
      </w:r>
      <w:proofErr w:type="spellEnd"/>
      <w:r>
        <w:rPr>
          <w:lang w:val="cs-CZ"/>
        </w:rPr>
        <w:t xml:space="preserve"> je garantovaná v </w:t>
      </w:r>
      <w:proofErr w:type="spellStart"/>
      <w:r>
        <w:rPr>
          <w:lang w:val="cs-CZ"/>
        </w:rPr>
        <w:t>zmluve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príspevku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zväzu</w:t>
      </w:r>
      <w:proofErr w:type="spellEnd"/>
      <w:r w:rsidR="00424CF3">
        <w:rPr>
          <w:lang w:val="cs-CZ"/>
        </w:rPr>
        <w:t xml:space="preserve"> na rok 2020</w:t>
      </w:r>
      <w:r>
        <w:rPr>
          <w:lang w:val="cs-CZ"/>
        </w:rPr>
        <w:t>. V </w:t>
      </w:r>
      <w:proofErr w:type="spellStart"/>
      <w:r>
        <w:rPr>
          <w:lang w:val="cs-CZ"/>
        </w:rPr>
        <w:t>prípade</w:t>
      </w:r>
      <w:proofErr w:type="spellEnd"/>
      <w:r>
        <w:rPr>
          <w:lang w:val="cs-CZ"/>
        </w:rPr>
        <w:t xml:space="preserve">, že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táto </w:t>
      </w:r>
      <w:proofErr w:type="spellStart"/>
      <w:r>
        <w:rPr>
          <w:lang w:val="cs-CZ"/>
        </w:rPr>
        <w:t>čiastka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klubom</w:t>
      </w:r>
      <w:proofErr w:type="spellEnd"/>
      <w:r>
        <w:rPr>
          <w:lang w:val="cs-CZ"/>
        </w:rPr>
        <w:t xml:space="preserve"> nevyčerpá, je </w:t>
      </w:r>
      <w:proofErr w:type="spellStart"/>
      <w:r>
        <w:rPr>
          <w:lang w:val="cs-CZ"/>
        </w:rPr>
        <w:t>potrebné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rozdiel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vrátiť</w:t>
      </w:r>
      <w:proofErr w:type="spellEnd"/>
      <w:r>
        <w:rPr>
          <w:lang w:val="cs-CZ"/>
        </w:rPr>
        <w:t xml:space="preserve"> ministerstvu, </w:t>
      </w:r>
      <w:proofErr w:type="spellStart"/>
      <w:r>
        <w:rPr>
          <w:lang w:val="cs-CZ"/>
        </w:rPr>
        <w:t>nedajú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takéto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prostriedky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použiť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iný</w:t>
      </w:r>
      <w:proofErr w:type="spellEnd"/>
      <w:r>
        <w:rPr>
          <w:lang w:val="cs-CZ"/>
        </w:rPr>
        <w:t xml:space="preserve"> účel.</w:t>
      </w:r>
    </w:p>
    <w:sectPr w:rsidR="0049307C" w:rsidRPr="00DB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4763C"/>
    <w:multiLevelType w:val="hybridMultilevel"/>
    <w:tmpl w:val="ADE83FEE"/>
    <w:lvl w:ilvl="0" w:tplc="D44E5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A8"/>
    <w:rsid w:val="00001C84"/>
    <w:rsid w:val="00041C13"/>
    <w:rsid w:val="00130E6E"/>
    <w:rsid w:val="00160F6B"/>
    <w:rsid w:val="00162E87"/>
    <w:rsid w:val="001C2F0D"/>
    <w:rsid w:val="00424CF3"/>
    <w:rsid w:val="0049307C"/>
    <w:rsid w:val="00493F7D"/>
    <w:rsid w:val="004C1FE5"/>
    <w:rsid w:val="005773CD"/>
    <w:rsid w:val="005B4B28"/>
    <w:rsid w:val="00691587"/>
    <w:rsid w:val="0076595C"/>
    <w:rsid w:val="007661CD"/>
    <w:rsid w:val="009215E9"/>
    <w:rsid w:val="00AB3C05"/>
    <w:rsid w:val="00B67BA7"/>
    <w:rsid w:val="00B727A4"/>
    <w:rsid w:val="00C07738"/>
    <w:rsid w:val="00D275B2"/>
    <w:rsid w:val="00DB40A8"/>
    <w:rsid w:val="00E445E2"/>
    <w:rsid w:val="00ED1433"/>
    <w:rsid w:val="00F80C4C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3FB1-F6F2-4DA6-A8DD-A7CF53A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cp:lastPrinted>2020-03-03T14:23:00Z</cp:lastPrinted>
  <dcterms:created xsi:type="dcterms:W3CDTF">2020-08-08T09:03:00Z</dcterms:created>
  <dcterms:modified xsi:type="dcterms:W3CDTF">2020-08-08T09:03:00Z</dcterms:modified>
</cp:coreProperties>
</file>